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E" w:rsidRDefault="00B14D7F" w:rsidP="006F64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CD">
        <w:rPr>
          <w:rFonts w:ascii="Times New Roman" w:hAnsi="Times New Roman" w:cs="Times New Roman"/>
          <w:b/>
          <w:sz w:val="24"/>
          <w:szCs w:val="24"/>
        </w:rPr>
        <w:t>Познавательная настольная игра «Животные Якутии»</w:t>
      </w:r>
    </w:p>
    <w:p w:rsidR="00036022" w:rsidRPr="006F64BE" w:rsidRDefault="006F64BE" w:rsidP="006F64B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36022" w:rsidRPr="006F64BE">
        <w:rPr>
          <w:rFonts w:ascii="Times New Roman" w:hAnsi="Times New Roman" w:cs="Times New Roman"/>
          <w:i/>
          <w:sz w:val="24"/>
          <w:szCs w:val="24"/>
        </w:rPr>
        <w:t>Босикова М.Г.</w:t>
      </w:r>
    </w:p>
    <w:p w:rsidR="00036022" w:rsidRDefault="00036022" w:rsidP="006F64B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64BE">
        <w:rPr>
          <w:rFonts w:ascii="Times New Roman" w:hAnsi="Times New Roman" w:cs="Times New Roman"/>
          <w:i/>
          <w:sz w:val="24"/>
          <w:szCs w:val="24"/>
        </w:rPr>
        <w:t xml:space="preserve">МБОУ «ВСОШ№2 </w:t>
      </w:r>
      <w:proofErr w:type="spellStart"/>
      <w:r w:rsidRPr="006F64BE">
        <w:rPr>
          <w:rFonts w:ascii="Times New Roman" w:hAnsi="Times New Roman" w:cs="Times New Roman"/>
          <w:i/>
          <w:sz w:val="24"/>
          <w:szCs w:val="24"/>
        </w:rPr>
        <w:t>им.Г.С.Донского</w:t>
      </w:r>
      <w:proofErr w:type="spellEnd"/>
      <w:r w:rsidRPr="006F64B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6F64BE">
        <w:rPr>
          <w:rFonts w:ascii="Times New Roman" w:hAnsi="Times New Roman" w:cs="Times New Roman"/>
          <w:i/>
          <w:sz w:val="24"/>
          <w:szCs w:val="24"/>
        </w:rPr>
        <w:t>г.Вилюйск</w:t>
      </w:r>
      <w:proofErr w:type="spellEnd"/>
    </w:p>
    <w:p w:rsidR="006F64BE" w:rsidRPr="006F64BE" w:rsidRDefault="006F64BE" w:rsidP="006F64B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4D7F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В настоящее время вопрос повышения уровня экологического образования учащихся остается неизменным. В последние годы усиливается деятельность общественности по охране и восстановлению численности животного мира Якутии.  В основном учащиеся мало знакомы  с биологией и экологией и названиями некоторых видов животных родного края, что является</w:t>
      </w:r>
      <w:r w:rsidRPr="006862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актуальным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сегодня. 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Опрос 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показал, что учащиеся недостаточно знают 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о животных своего края и в основном знают только по якутским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названия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14ED4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этим мы</w:t>
      </w:r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начали исследовательскую работу и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поставили пере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д собой задачу</w:t>
      </w:r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4ED4" w:rsidRPr="006862CD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формирование знаний учащихся про животных родного края и повышения уровня экологического образования детей.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Важным являлось, что и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зучение </w:t>
      </w:r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животного мира родного края даст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возможность формированию экологических представлений</w:t>
      </w:r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 о природе своего края и 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бережного отношения к нему. </w:t>
      </w:r>
    </w:p>
    <w:p w:rsidR="00F14ED4" w:rsidRPr="006862CD" w:rsidRDefault="00127088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В начале нашего исследования с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тал вопрос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: « К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акое средство будет 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эффективным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формир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ования знаний учащихся?». </w:t>
      </w:r>
      <w:r w:rsidR="00F14ED4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14D7F" w:rsidRPr="006862CD" w:rsidRDefault="00AD3AF8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результатом изученного</w:t>
      </w:r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материала 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педагогике выявили, что игровая деятельность - один из наиболее эффективных способов включения ребенка в познавательный процесс.</w:t>
      </w:r>
      <w:r w:rsidR="00B14D7F" w:rsidRPr="006862CD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Дидактическая  игра обладает существенным признаком - четко поставленной целью обучения и соответствующим ей педагогическим результатом. Одним из инструментов дидактической игры являются познавательные настольные игры.</w:t>
      </w:r>
    </w:p>
    <w:p w:rsidR="00127088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Лото, игра-</w:t>
      </w:r>
      <w:proofErr w:type="spellStart"/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ходилка</w:t>
      </w:r>
      <w:proofErr w:type="spellEnd"/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карточные игры- эти настольные игры популярны как у детей, так и у взрослых. Настольные игры отлично подходят в качестве средства обучения. </w:t>
      </w:r>
    </w:p>
    <w:p w:rsidR="00127088" w:rsidRPr="006862CD" w:rsidRDefault="00127088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Большая часть территории нашей Якутии расположена в зоне средней тайги, которая к северу сменяется зонами лесотундры и тундры. Фауна Якутии представлена типичными представителями этих климатических поясов. Животный мир Якутии богата и разнообразна видами животных.</w:t>
      </w:r>
    </w:p>
    <w:p w:rsidR="00127088" w:rsidRDefault="00BD49B5" w:rsidP="003B0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1771015" cy="1393190"/>
            <wp:effectExtent l="0" t="0" r="635" b="0"/>
            <wp:wrapSquare wrapText="bothSides"/>
            <wp:docPr id="1" name="Рисунок 1" descr="C:\Users\School22\AppData\Local\Microsoft\Windows\INetCache\IE\WDT7UOM3\IMG_20201201_1648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22\AppData\Local\Microsoft\Windows\INetCache\IE\WDT7UOM3\IMG_20201201_16481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6" r="15983"/>
                    <a:stretch/>
                  </pic:blipFill>
                  <pic:spPr bwMode="auto">
                    <a:xfrm>
                      <a:off x="0" y="0"/>
                      <a:ext cx="177101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И в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ходе данного исследования мы разработали познавательную настольную игру «Животные Якутии»- это комплекс дидактических игр, включающий в себе 3 настольные игры:  лото «Пресноводные рыбы Якутии», карточная игра «Назови птицу Якутии», игра -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ходилка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«Млекопитающие Якутии». При разработке о сведениях животных Якутии, мы руководствовались материалами справочника-определителя «Знаете ли вы млекопитающих Якутии»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Б.И.Сидорова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справочника- определителя «Пресноводные рыбы, земноводные и пресмыкающиеся Якутии»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Б.И.Сидорова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М.М.Тяптиргянова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полевого справочника «Птицы Якутии»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Н.А.Находкина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Н.И.Гермогенова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Б.И.Сидорова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02C0" w:rsidRPr="006862CD" w:rsidRDefault="003B02C0" w:rsidP="003B0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4D7F" w:rsidRPr="006862CD" w:rsidRDefault="003B02C0" w:rsidP="003B02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1772285" cy="1472565"/>
            <wp:effectExtent l="0" t="0" r="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r="8951"/>
                    <a:stretch/>
                  </pic:blipFill>
                  <pic:spPr bwMode="auto">
                    <a:xfrm>
                      <a:off x="0" y="0"/>
                      <a:ext cx="177228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88" w:rsidRPr="006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</w:t>
      </w:r>
      <w:r w:rsidR="00B14D7F" w:rsidRPr="006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Лото «Пресноводные рыбы Якутии.</w:t>
      </w:r>
      <w:r w:rsidR="00B14D7F" w:rsidRPr="006862C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отличие от стандартного лото, здесь вместо цифр используются изображения животных. Лото содержит сведения о 42 видах пресноводных рыб Якутии: наглядное изображение видов рыб, их </w:t>
      </w:r>
      <w:r w:rsidR="00504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научное название, также название вида на 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якутском</w:t>
      </w:r>
      <w:r w:rsidR="000360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языке, распространение и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сведения о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краснокнижных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видах. </w:t>
      </w:r>
    </w:p>
    <w:p w:rsidR="00B14D7F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Лото состоит из:</w:t>
      </w:r>
    </w:p>
    <w:p w:rsidR="00B14D7F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Карточек с изображением пресноводных рыб бассейна реки </w:t>
      </w:r>
      <w:proofErr w:type="spellStart"/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Анабар</w:t>
      </w:r>
      <w:proofErr w:type="spellEnd"/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, реки Оленек, реки Лена, реки Вилюй, реки Алдан, реки Яна, реки Индигирка и реки Колыма, на каждой карточке по 6 окошек, - 45 шт.</w:t>
      </w:r>
    </w:p>
    <w:p w:rsidR="00B14D7F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- Жетонов  с изображением видов пресноводных рыб Якутии- 42 шт.</w:t>
      </w:r>
    </w:p>
    <w:p w:rsidR="00B14D7F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Цель игры: знакомство с разнообразием пресноводных рыб Якутии</w:t>
      </w:r>
    </w:p>
    <w:p w:rsidR="003B02C0" w:rsidRDefault="003B02C0" w:rsidP="003B02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14D7F" w:rsidRPr="006862CD" w:rsidRDefault="003B02C0" w:rsidP="003B02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1954530" cy="1165860"/>
            <wp:effectExtent l="0" t="0" r="7620" b="0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88" w:rsidRPr="006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2) </w:t>
      </w:r>
      <w:r w:rsidR="00B14D7F" w:rsidRPr="006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Карточная игра «Назови птицу Якутии».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Набор состоит из 50 карт с изображением птиц Якутии и листа с названиями птиц. В эту игру  мы внесли изображения видов птиц из: отряда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Гагарообразные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 вида, отряда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Поганковые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- 2 вида, отряда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Аистообразные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- 2 вида, отряда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Гусеобразные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- 19 видов, отряда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Соколообразные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- 13 видов, отряда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Курообразные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- 7 видов, отряда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Журавлеобразные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- 2 вида, отряда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Дятлеобразные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- 3 вида. Всего 50 видов, с широким ареалом обитания на территории Якутии. Исключение составили некоторые </w:t>
      </w:r>
      <w:proofErr w:type="spellStart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краснокнижные</w:t>
      </w:r>
      <w:proofErr w:type="spellEnd"/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виды птиц.</w:t>
      </w:r>
    </w:p>
    <w:p w:rsidR="00B14D7F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Цель игры: знакомство с  разнообразием видов птиц Якутии.</w:t>
      </w:r>
      <w:r w:rsidR="006862CD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Каждый игрок по очереди берет карту из общей колоды, на которой изображена птица. Его задача правильно назвать название вида птицы Якутии на русском и на якутском языке.</w:t>
      </w:r>
    </w:p>
    <w:p w:rsidR="003B02C0" w:rsidRDefault="003B02C0" w:rsidP="003B02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7088" w:rsidRPr="006862CD" w:rsidRDefault="003B02C0" w:rsidP="003B02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839595" cy="1263015"/>
            <wp:effectExtent l="0" t="0" r="8255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88" w:rsidRPr="006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Игра-</w:t>
      </w:r>
      <w:proofErr w:type="spellStart"/>
      <w:r w:rsidR="00127088" w:rsidRPr="006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ходилка</w:t>
      </w:r>
      <w:proofErr w:type="spellEnd"/>
      <w:r w:rsidR="00127088" w:rsidRPr="006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«Млекопитающие Якутии</w:t>
      </w:r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r w:rsidR="00127088" w:rsidRPr="006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этой игре учащиеся знакомятся с видами млекопитающих Якутии. В данной игре </w:t>
      </w:r>
      <w:proofErr w:type="gramStart"/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приводятся  интересные</w:t>
      </w:r>
      <w:proofErr w:type="gramEnd"/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факты о местообитаниях, образах жизни, питаниях и размножениях млекопитающих, также о  </w:t>
      </w:r>
      <w:proofErr w:type="spellStart"/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краснокнижных</w:t>
      </w:r>
      <w:proofErr w:type="spellEnd"/>
      <w:r w:rsidR="0012708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видах. </w:t>
      </w:r>
    </w:p>
    <w:p w:rsidR="00127088" w:rsidRDefault="00127088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наборе: игровое поле с изображением карты Республики Саха (Якутия), 4 фишки, кубик. </w:t>
      </w:r>
    </w:p>
    <w:p w:rsidR="003B02C0" w:rsidRDefault="003B02C0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3AF8" w:rsidRDefault="003B02C0" w:rsidP="003B02C0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80645</wp:posOffset>
            </wp:positionV>
            <wp:extent cx="1839595" cy="1035050"/>
            <wp:effectExtent l="0" t="0" r="8255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D3AF8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Была организована и проведена апробация настольной игры «Животные Якутии». </w:t>
      </w:r>
      <w:r w:rsidR="00AD3AF8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Исследования проводились на базе МБОУ </w:t>
      </w:r>
      <w:r w:rsidR="00AD3AF8" w:rsidRPr="006862CD">
        <w:rPr>
          <w:rFonts w:ascii="Times-Roman" w:eastAsia="Calibri" w:hAnsi="Times-Roman" w:cs="Times New Roman"/>
          <w:color w:val="000000"/>
          <w:sz w:val="24"/>
          <w:szCs w:val="24"/>
        </w:rPr>
        <w:t>«</w:t>
      </w:r>
      <w:proofErr w:type="spellStart"/>
      <w:r w:rsidR="00AD3AF8" w:rsidRPr="006862CD">
        <w:rPr>
          <w:rFonts w:ascii="TimesNewRoman" w:eastAsia="Calibri" w:hAnsi="TimesNewRoman" w:cs="Times New Roman"/>
          <w:color w:val="000000"/>
          <w:sz w:val="24"/>
          <w:szCs w:val="24"/>
        </w:rPr>
        <w:t>Хагынской</w:t>
      </w:r>
      <w:proofErr w:type="spellEnd"/>
      <w:r w:rsidR="00AD3AF8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СОШ</w:t>
      </w:r>
      <w:r w:rsidR="00AD3AF8" w:rsidRPr="006862CD">
        <w:rPr>
          <w:rFonts w:ascii="Times-Roman" w:eastAsia="Calibri" w:hAnsi="Times-Roman" w:cs="Times New Roman"/>
          <w:color w:val="000000"/>
          <w:sz w:val="24"/>
          <w:szCs w:val="24"/>
        </w:rPr>
        <w:t xml:space="preserve">» </w:t>
      </w:r>
      <w:r w:rsidR="00AD3AF8" w:rsidRPr="006862CD">
        <w:rPr>
          <w:rFonts w:ascii="TimesNewRoman" w:eastAsia="Calibri" w:hAnsi="TimesNewRoman" w:cs="Times New Roman"/>
          <w:color w:val="000000"/>
          <w:sz w:val="24"/>
          <w:szCs w:val="24"/>
        </w:rPr>
        <w:t>с</w:t>
      </w:r>
      <w:r w:rsidR="00AD3AF8" w:rsidRPr="006862CD">
        <w:rPr>
          <w:rFonts w:ascii="Times-Roman" w:eastAsia="Calibri" w:hAnsi="Times-Roman" w:cs="Times New Roman"/>
          <w:color w:val="000000"/>
          <w:sz w:val="24"/>
          <w:szCs w:val="24"/>
        </w:rPr>
        <w:t xml:space="preserve">. </w:t>
      </w:r>
      <w:proofErr w:type="spellStart"/>
      <w:r w:rsidR="00AD3AF8" w:rsidRPr="006862CD">
        <w:rPr>
          <w:rFonts w:ascii="Times-Roman" w:eastAsia="Calibri" w:hAnsi="Times-Roman" w:cs="Times New Roman"/>
          <w:color w:val="000000"/>
          <w:sz w:val="24"/>
          <w:szCs w:val="24"/>
        </w:rPr>
        <w:t>Кирово</w:t>
      </w:r>
      <w:proofErr w:type="spellEnd"/>
      <w:r w:rsidR="00AD3AF8" w:rsidRPr="006862CD">
        <w:rPr>
          <w:rFonts w:ascii="Times-Roman" w:eastAsia="Calibri" w:hAnsi="Times-Roman" w:cs="Times New Roman"/>
          <w:color w:val="000000"/>
          <w:sz w:val="24"/>
          <w:szCs w:val="24"/>
        </w:rPr>
        <w:t xml:space="preserve"> </w:t>
      </w:r>
      <w:r w:rsidR="00AD3AF8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Вилюйского района среди учащихся 7-го класса. </w:t>
      </w:r>
      <w:r w:rsidR="00AD3AF8" w:rsidRPr="006862CD">
        <w:rPr>
          <w:rFonts w:ascii="Times-Roman" w:eastAsia="Calibri" w:hAnsi="Times-Roman" w:cs="Times New Roman"/>
          <w:color w:val="000000"/>
          <w:sz w:val="24"/>
          <w:szCs w:val="24"/>
        </w:rPr>
        <w:t xml:space="preserve"> </w:t>
      </w:r>
      <w:r w:rsidR="00AD3AF8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Количество детей принимавших участие в исследовании составило </w:t>
      </w:r>
      <w:r w:rsidR="00AD3AF8" w:rsidRPr="006862CD">
        <w:rPr>
          <w:rFonts w:ascii="Times-Roman" w:eastAsia="Calibri" w:hAnsi="Times-Roman" w:cs="Times New Roman"/>
          <w:color w:val="000000"/>
          <w:sz w:val="24"/>
          <w:szCs w:val="24"/>
        </w:rPr>
        <w:t xml:space="preserve">6 </w:t>
      </w:r>
      <w:r w:rsidR="00AD3AF8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человек. </w:t>
      </w: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Эксперимент проводился в два этапа: </w:t>
      </w: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Первый этап – контрольный – проходил в начале ознакомления игры. В ходе исследования был произведен анализ начального </w:t>
      </w:r>
      <w:proofErr w:type="gramStart"/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>уровня  знаний</w:t>
      </w:r>
      <w:proofErr w:type="gramEnd"/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 детей о животном мире родного края.  В начале игры учащиеся записывали виды рыб, птиц и млекопитающих Якутии, которых они знают.  </w:t>
      </w: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Второй этап- формирующий – </w:t>
      </w:r>
      <w:proofErr w:type="gramStart"/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>был  реализован</w:t>
      </w:r>
      <w:proofErr w:type="gramEnd"/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комплекс дидактических игр «Животные Якутии» направленный на формирование знаний у детей о животном мире Якутии. В конце игры учащиеся записывали виды рыб, птиц, млекопитающих Якутии, о которых узнали.</w:t>
      </w: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Исследование показало, </w:t>
      </w:r>
      <w:proofErr w:type="gramStart"/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>что  формирования</w:t>
      </w:r>
      <w:proofErr w:type="gramEnd"/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знаний про животных родного края, посредством разработанной настольной игры, среди обучающихся 7-го класса, имеет положительный результат. </w:t>
      </w: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Об этом свидетельствуют результаты анкетирования (см. диаграмму 1). </w:t>
      </w: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</w:p>
    <w:p w:rsid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bookmarkStart w:id="0" w:name="_GoBack"/>
      <w:bookmarkEnd w:id="0"/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lastRenderedPageBreak/>
        <w:t>Диаграмма 1. Формирование знаний учащихся о животных Якутии</w:t>
      </w:r>
    </w:p>
    <w:p w:rsidR="006F5BCE" w:rsidRPr="006F5BCE" w:rsidRDefault="006F5BCE" w:rsidP="006F5BCE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6F5BCE">
        <w:rPr>
          <w:rFonts w:ascii="TimesNewRoman" w:eastAsia="Calibri" w:hAnsi="TimesNewRoman" w:cs="Times New Roman"/>
          <w:color w:val="000000"/>
          <w:sz w:val="24"/>
          <w:szCs w:val="24"/>
          <w:lang w:val="en-US"/>
        </w:rPr>
        <w:drawing>
          <wp:inline distT="0" distB="0" distL="0" distR="0" wp14:anchorId="59BA87DB" wp14:editId="63FAD305">
            <wp:extent cx="5889172" cy="3777343"/>
            <wp:effectExtent l="0" t="0" r="1651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5BCE" w:rsidRPr="006F5BCE" w:rsidRDefault="006F5BCE" w:rsidP="003B02C0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Также был проведен опрос, среди учащихся: «Какие недочеты выявлены в дидактических играх настольной игры «Животные Якутии»?». Учащиеся высказались о недостаточности в проработки хода игры, высказались предложения: в начале </w:t>
      </w:r>
      <w:proofErr w:type="gramStart"/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>игры  «</w:t>
      </w:r>
      <w:proofErr w:type="gramEnd"/>
      <w:r w:rsidRPr="006F5BCE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Млекопитающие Якутии» провести ознакомление  с информацией, которая будет в вопросах. В целом учащиеся проявляли интерес и очень многое узнали.  </w:t>
      </w:r>
    </w:p>
    <w:p w:rsidR="00B14D7F" w:rsidRPr="006862CD" w:rsidRDefault="00127088" w:rsidP="006862CD">
      <w:pPr>
        <w:spacing w:after="0" w:line="240" w:lineRule="auto"/>
        <w:ind w:firstLine="708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4D7F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Исследование показало, </w:t>
      </w:r>
      <w:proofErr w:type="gramStart"/>
      <w:r w:rsidR="00B14D7F" w:rsidRPr="006862CD">
        <w:rPr>
          <w:rFonts w:ascii="TimesNewRoman" w:eastAsia="Calibri" w:hAnsi="TimesNewRoman" w:cs="Times New Roman"/>
          <w:color w:val="000000"/>
          <w:sz w:val="24"/>
          <w:szCs w:val="24"/>
        </w:rPr>
        <w:t>что  формирования</w:t>
      </w:r>
      <w:proofErr w:type="gramEnd"/>
      <w:r w:rsidR="00B14D7F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знаний про животных родного края, посредством разработанной настольной игры, среди обучающихся 7-го класса, имеет положительный результат. Недочеты рассматривались</w:t>
      </w:r>
      <w:r w:rsidR="00AD3AF8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лишь</w:t>
      </w:r>
      <w:r w:rsidR="00B14D7F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при разработке хода игры. </w:t>
      </w:r>
      <w:r w:rsidR="00AD3AF8" w:rsidRPr="006862CD">
        <w:rPr>
          <w:rFonts w:ascii="TimesNewRoman" w:eastAsia="Calibri" w:hAnsi="TimesNewRoman" w:cs="Times New Roman"/>
          <w:color w:val="000000"/>
          <w:sz w:val="24"/>
          <w:szCs w:val="24"/>
        </w:rPr>
        <w:t>Мы определили, что для</w:t>
      </w:r>
      <w:r w:rsidR="00B14D7F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достаточного формирования з</w:t>
      </w:r>
      <w:r w:rsidR="003B02C0">
        <w:rPr>
          <w:rFonts w:ascii="TimesNewRoman" w:eastAsia="Calibri" w:hAnsi="TimesNewRoman" w:cs="Times New Roman"/>
          <w:color w:val="000000"/>
          <w:sz w:val="24"/>
          <w:szCs w:val="24"/>
        </w:rPr>
        <w:t>наний учащихся про животных Якутии</w:t>
      </w:r>
      <w:r w:rsidR="00B14D7F" w:rsidRPr="006862CD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, игру нужно провести периодично. </w:t>
      </w:r>
    </w:p>
    <w:p w:rsidR="00AD3AF8" w:rsidRPr="006862CD" w:rsidRDefault="00AD3AF8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игра обладает рядом </w:t>
      </w:r>
      <w:proofErr w:type="gramStart"/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преимуществ:  позволяет</w:t>
      </w:r>
      <w:proofErr w:type="gramEnd"/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учащимся сформировать знания о пресноводных рыбах, птицах и млекопитающих  родного края,  наглядно запоминать виды, узнать его </w:t>
      </w:r>
      <w:r w:rsidR="00036022">
        <w:rPr>
          <w:rFonts w:ascii="Times New Roman" w:eastAsia="Calibri" w:hAnsi="Times New Roman" w:cs="Times New Roman"/>
          <w:color w:val="000000"/>
          <w:sz w:val="24"/>
          <w:szCs w:val="24"/>
        </w:rPr>
        <w:t>научное название, также название вида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якутском языке, </w:t>
      </w:r>
      <w:r w:rsidR="000360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изучить распространение и 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познакомиться с </w:t>
      </w:r>
      <w:proofErr w:type="spellStart"/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краснокнижными</w:t>
      </w:r>
      <w:proofErr w:type="spellEnd"/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видами.  </w:t>
      </w:r>
    </w:p>
    <w:p w:rsidR="00B14D7F" w:rsidRPr="006862CD" w:rsidRDefault="00AD3AF8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Разработанная настольная игра «Животные Якутии»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формирует познавательный интерес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наполняет процесс познания интересным содержанием о животных Якутии, воспитывает бережное отношение к животным родного края. Познавательную настольную игру можно использовать в семейных играх и во внеурочн</w:t>
      </w: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ых занятиях учебных заведений</w:t>
      </w:r>
      <w:r w:rsidR="00B14D7F"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14D7F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2CD">
        <w:rPr>
          <w:rFonts w:ascii="Times New Roman" w:eastAsia="Calibri" w:hAnsi="Times New Roman" w:cs="Times New Roman"/>
          <w:color w:val="000000"/>
          <w:sz w:val="24"/>
          <w:szCs w:val="24"/>
        </w:rPr>
        <w:t>В настоящее время вопрос повышения уровня экологического образования учащихся остается неизменным. Задачи экологического воспитания- это создание условий способствующих гармоничному экологическому развитию личности ребенка, посредством совместной познавательной, образовательной и природоохранной деятельности детей и педагога.</w:t>
      </w:r>
    </w:p>
    <w:p w:rsidR="00B14D7F" w:rsidRPr="006862CD" w:rsidRDefault="00B14D7F" w:rsidP="0068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64BE" w:rsidRPr="006F64BE" w:rsidRDefault="006F64BE" w:rsidP="006F64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4BE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6F64BE" w:rsidRPr="006F64BE" w:rsidRDefault="006F64BE" w:rsidP="006F6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64BE">
        <w:rPr>
          <w:rFonts w:ascii="Times New Roman" w:eastAsia="Calibri" w:hAnsi="Times New Roman" w:cs="Times New Roman"/>
          <w:sz w:val="24"/>
          <w:szCs w:val="24"/>
        </w:rPr>
        <w:t xml:space="preserve">1. Дидактические игры в педагогическом процессе </w:t>
      </w:r>
      <w:r w:rsidRPr="006F64BE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</w:t>
      </w:r>
      <w:proofErr w:type="gramStart"/>
      <w:r w:rsidRPr="006F64BE">
        <w:rPr>
          <w:rFonts w:ascii="Times New Roman" w:eastAsia="Calibri" w:hAnsi="Times New Roman" w:cs="Times New Roman"/>
          <w:bCs/>
          <w:sz w:val="24"/>
          <w:szCs w:val="24"/>
        </w:rPr>
        <w:t>].-</w:t>
      </w:r>
      <w:proofErr w:type="gramEnd"/>
      <w:r w:rsidRPr="006F64BE">
        <w:rPr>
          <w:rFonts w:ascii="Times New Roman" w:eastAsia="Calibri" w:hAnsi="Times New Roman" w:cs="Times New Roman"/>
          <w:bCs/>
          <w:sz w:val="24"/>
          <w:szCs w:val="24"/>
        </w:rPr>
        <w:t xml:space="preserve"> Режим доступа: </w:t>
      </w:r>
      <w:r w:rsidRPr="006F64B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6F64BE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Pr="006F64B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scienceforum</w:t>
      </w:r>
      <w:proofErr w:type="spellEnd"/>
      <w:r w:rsidRPr="006F64BE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6F64B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6F64B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F64BE" w:rsidRPr="006F64BE" w:rsidRDefault="006F64BE" w:rsidP="006F64B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F64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Настольные игры </w:t>
      </w:r>
      <w:r w:rsidRPr="006F64BE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</w:t>
      </w:r>
      <w:proofErr w:type="gramStart"/>
      <w:r w:rsidRPr="006F64BE">
        <w:rPr>
          <w:rFonts w:ascii="Times New Roman" w:eastAsia="Calibri" w:hAnsi="Times New Roman" w:cs="Times New Roman"/>
          <w:bCs/>
          <w:sz w:val="24"/>
          <w:szCs w:val="24"/>
        </w:rPr>
        <w:t>].-</w:t>
      </w:r>
      <w:proofErr w:type="gramEnd"/>
      <w:r w:rsidRPr="006F64BE">
        <w:rPr>
          <w:rFonts w:ascii="Times New Roman" w:eastAsia="Calibri" w:hAnsi="Times New Roman" w:cs="Times New Roman"/>
          <w:bCs/>
          <w:sz w:val="24"/>
          <w:szCs w:val="24"/>
        </w:rPr>
        <w:t xml:space="preserve"> Режим доступа: </w:t>
      </w:r>
      <w:hyperlink r:id="rId10" w:history="1">
        <w:r w:rsidRPr="006F64B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Pr="006F64B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Pr="006F64B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wikipedia</w:t>
        </w:r>
        <w:proofErr w:type="spellEnd"/>
        <w:r w:rsidRPr="006F64B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F64B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F64B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F64BE" w:rsidRPr="006F64BE" w:rsidRDefault="006F64BE" w:rsidP="006F6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64B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6F64BE">
        <w:rPr>
          <w:rFonts w:ascii="Times New Roman" w:eastAsia="Calibri" w:hAnsi="Times New Roman" w:cs="Times New Roman"/>
          <w:sz w:val="24"/>
          <w:szCs w:val="24"/>
        </w:rPr>
        <w:t>Находкин</w:t>
      </w:r>
      <w:proofErr w:type="spellEnd"/>
      <w:r w:rsidRPr="006F64BE">
        <w:rPr>
          <w:rFonts w:ascii="Times New Roman" w:eastAsia="Calibri" w:hAnsi="Times New Roman" w:cs="Times New Roman"/>
          <w:sz w:val="24"/>
          <w:szCs w:val="24"/>
        </w:rPr>
        <w:t xml:space="preserve"> Н.А., Гермогенов Б.И., Сидоров Б.И. Птицы Якутии: полевой справочник- </w:t>
      </w:r>
      <w:proofErr w:type="gramStart"/>
      <w:r w:rsidRPr="006F64BE">
        <w:rPr>
          <w:rFonts w:ascii="Times New Roman" w:eastAsia="Calibri" w:hAnsi="Times New Roman" w:cs="Times New Roman"/>
          <w:sz w:val="24"/>
          <w:szCs w:val="24"/>
        </w:rPr>
        <w:t>Якутск:Октаэдр</w:t>
      </w:r>
      <w:proofErr w:type="gramEnd"/>
      <w:r w:rsidRPr="006F64BE">
        <w:rPr>
          <w:rFonts w:ascii="Times New Roman" w:eastAsia="Calibri" w:hAnsi="Times New Roman" w:cs="Times New Roman"/>
          <w:sz w:val="24"/>
          <w:szCs w:val="24"/>
        </w:rPr>
        <w:t>,2008.-384 с.</w:t>
      </w:r>
    </w:p>
    <w:p w:rsidR="006F64BE" w:rsidRPr="006F64BE" w:rsidRDefault="006F64BE" w:rsidP="006F6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64BE">
        <w:rPr>
          <w:rFonts w:ascii="Times New Roman" w:eastAsia="Calibri" w:hAnsi="Times New Roman" w:cs="Times New Roman"/>
          <w:sz w:val="24"/>
          <w:szCs w:val="24"/>
        </w:rPr>
        <w:t xml:space="preserve">4. Сидоров Б.И. Знаете ли вы млекопитающих </w:t>
      </w:r>
      <w:proofErr w:type="gramStart"/>
      <w:r w:rsidRPr="006F64BE">
        <w:rPr>
          <w:rFonts w:ascii="Times New Roman" w:eastAsia="Calibri" w:hAnsi="Times New Roman" w:cs="Times New Roman"/>
          <w:sz w:val="24"/>
          <w:szCs w:val="24"/>
        </w:rPr>
        <w:t>Якутии?:</w:t>
      </w:r>
      <w:proofErr w:type="gramEnd"/>
      <w:r w:rsidRPr="006F64BE">
        <w:rPr>
          <w:rFonts w:ascii="Times New Roman" w:eastAsia="Calibri" w:hAnsi="Times New Roman" w:cs="Times New Roman"/>
          <w:sz w:val="24"/>
          <w:szCs w:val="24"/>
        </w:rPr>
        <w:t>справочник-определитель- Якутск: Бичик,2002.-112 с.</w:t>
      </w:r>
    </w:p>
    <w:p w:rsidR="006F64BE" w:rsidRPr="006F64BE" w:rsidRDefault="006F64BE" w:rsidP="006F6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64BE">
        <w:rPr>
          <w:rFonts w:ascii="Times New Roman" w:eastAsia="Calibri" w:hAnsi="Times New Roman" w:cs="Times New Roman"/>
          <w:sz w:val="24"/>
          <w:szCs w:val="24"/>
        </w:rPr>
        <w:t xml:space="preserve">5. Сидоров Б.И. Знаете ли вы птиц </w:t>
      </w:r>
      <w:proofErr w:type="gramStart"/>
      <w:r w:rsidRPr="006F64BE">
        <w:rPr>
          <w:rFonts w:ascii="Times New Roman" w:eastAsia="Calibri" w:hAnsi="Times New Roman" w:cs="Times New Roman"/>
          <w:sz w:val="24"/>
          <w:szCs w:val="24"/>
        </w:rPr>
        <w:t>Якутии?:</w:t>
      </w:r>
      <w:proofErr w:type="gramEnd"/>
      <w:r w:rsidRPr="006F64BE">
        <w:rPr>
          <w:rFonts w:ascii="Times New Roman" w:eastAsia="Calibri" w:hAnsi="Times New Roman" w:cs="Times New Roman"/>
          <w:sz w:val="24"/>
          <w:szCs w:val="24"/>
        </w:rPr>
        <w:t>справочник-определитель- Якутск:Бичик,1999.-101 с, ил.</w:t>
      </w:r>
    </w:p>
    <w:p w:rsidR="006F64BE" w:rsidRPr="006F64BE" w:rsidRDefault="006F64BE" w:rsidP="006F6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64BE">
        <w:rPr>
          <w:rFonts w:ascii="Times New Roman" w:eastAsia="Calibri" w:hAnsi="Times New Roman" w:cs="Times New Roman"/>
          <w:sz w:val="24"/>
          <w:szCs w:val="24"/>
        </w:rPr>
        <w:t xml:space="preserve">6. Сидоров Б.И., </w:t>
      </w:r>
      <w:proofErr w:type="spellStart"/>
      <w:r w:rsidRPr="006F64BE">
        <w:rPr>
          <w:rFonts w:ascii="Times New Roman" w:eastAsia="Calibri" w:hAnsi="Times New Roman" w:cs="Times New Roman"/>
          <w:sz w:val="24"/>
          <w:szCs w:val="24"/>
        </w:rPr>
        <w:t>Тяптиргянов</w:t>
      </w:r>
      <w:proofErr w:type="spellEnd"/>
      <w:r w:rsidRPr="006F64BE">
        <w:rPr>
          <w:rFonts w:ascii="Times New Roman" w:eastAsia="Calibri" w:hAnsi="Times New Roman" w:cs="Times New Roman"/>
          <w:sz w:val="24"/>
          <w:szCs w:val="24"/>
        </w:rPr>
        <w:t xml:space="preserve"> М.М. Пресноводные рыбы, земноводные и пресмыкающиеся </w:t>
      </w:r>
      <w:proofErr w:type="spellStart"/>
      <w:proofErr w:type="gramStart"/>
      <w:r w:rsidRPr="006F64BE">
        <w:rPr>
          <w:rFonts w:ascii="Times New Roman" w:eastAsia="Calibri" w:hAnsi="Times New Roman" w:cs="Times New Roman"/>
          <w:sz w:val="24"/>
          <w:szCs w:val="24"/>
        </w:rPr>
        <w:t>Якутии:справочник</w:t>
      </w:r>
      <w:proofErr w:type="gramEnd"/>
      <w:r w:rsidRPr="006F64BE">
        <w:rPr>
          <w:rFonts w:ascii="Times New Roman" w:eastAsia="Calibri" w:hAnsi="Times New Roman" w:cs="Times New Roman"/>
          <w:sz w:val="24"/>
          <w:szCs w:val="24"/>
        </w:rPr>
        <w:t>-определитель</w:t>
      </w:r>
      <w:proofErr w:type="spellEnd"/>
      <w:r w:rsidRPr="006F64BE">
        <w:rPr>
          <w:rFonts w:ascii="Times New Roman" w:eastAsia="Calibri" w:hAnsi="Times New Roman" w:cs="Times New Roman"/>
          <w:sz w:val="24"/>
          <w:szCs w:val="24"/>
        </w:rPr>
        <w:t>.- Якутск: Бичик,2004.-64 с., ил.</w:t>
      </w:r>
    </w:p>
    <w:p w:rsidR="006F64BE" w:rsidRPr="006F64BE" w:rsidRDefault="006F64BE" w:rsidP="006F64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D7F" w:rsidRPr="006862CD" w:rsidRDefault="00B14D7F" w:rsidP="00036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4D7F" w:rsidRPr="0068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F"/>
    <w:rsid w:val="00036022"/>
    <w:rsid w:val="00127088"/>
    <w:rsid w:val="003B02C0"/>
    <w:rsid w:val="00463F82"/>
    <w:rsid w:val="00504089"/>
    <w:rsid w:val="006862CD"/>
    <w:rsid w:val="006F5BCE"/>
    <w:rsid w:val="006F64BE"/>
    <w:rsid w:val="00AD3AF8"/>
    <w:rsid w:val="00B14D7F"/>
    <w:rsid w:val="00BD49B5"/>
    <w:rsid w:val="00F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8A9A-2222-4639-B0F8-16BBF18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ikipedia.ru" TargetMode="External"/><Relationship Id="rId4" Type="http://schemas.openxmlformats.org/officeDocument/2006/relationships/image" Target="media/image1.jpe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названий рыб Якутии в начале игры- контрольный этап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Афанасьева Надя</c:v>
                </c:pt>
                <c:pt idx="1">
                  <c:v>Докторова Сайаана</c:v>
                </c:pt>
                <c:pt idx="2">
                  <c:v>Никифорова Айлана</c:v>
                </c:pt>
                <c:pt idx="3">
                  <c:v>Осипова Александра</c:v>
                </c:pt>
                <c:pt idx="4">
                  <c:v>Павлова Катя</c:v>
                </c:pt>
                <c:pt idx="5">
                  <c:v>Шестаков Айтал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названий рыб Якутии в конце игры- этап формирующий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Афанасьева Надя</c:v>
                </c:pt>
                <c:pt idx="1">
                  <c:v>Докторова Сайаана</c:v>
                </c:pt>
                <c:pt idx="2">
                  <c:v>Никифорова Айлана</c:v>
                </c:pt>
                <c:pt idx="3">
                  <c:v>Осипова Александра</c:v>
                </c:pt>
                <c:pt idx="4">
                  <c:v>Павлова Катя</c:v>
                </c:pt>
                <c:pt idx="5">
                  <c:v>Шестаков Айтал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названий птиц Якутии в начале игры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Афанасьева Надя</c:v>
                </c:pt>
                <c:pt idx="1">
                  <c:v>Докторова Сайаана</c:v>
                </c:pt>
                <c:pt idx="2">
                  <c:v>Никифорова Айлана</c:v>
                </c:pt>
                <c:pt idx="3">
                  <c:v>Осипова Александра</c:v>
                </c:pt>
                <c:pt idx="4">
                  <c:v>Павлова Катя</c:v>
                </c:pt>
                <c:pt idx="5">
                  <c:v>Шестаков Айтал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4</c:v>
                </c:pt>
                <c:pt idx="5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названий птиц Якутии в конце игры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Афанасьева Надя</c:v>
                </c:pt>
                <c:pt idx="1">
                  <c:v>Докторова Сайаана</c:v>
                </c:pt>
                <c:pt idx="2">
                  <c:v>Никифорова Айлана</c:v>
                </c:pt>
                <c:pt idx="3">
                  <c:v>Осипова Александра</c:v>
                </c:pt>
                <c:pt idx="4">
                  <c:v>Павлова Катя</c:v>
                </c:pt>
                <c:pt idx="5">
                  <c:v>Шестаков Айтал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15</c:v>
                </c:pt>
                <c:pt idx="1">
                  <c:v>13</c:v>
                </c:pt>
                <c:pt idx="2">
                  <c:v>11</c:v>
                </c:pt>
                <c:pt idx="3">
                  <c:v>11</c:v>
                </c:pt>
                <c:pt idx="4">
                  <c:v>6</c:v>
                </c:pt>
                <c:pt idx="5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Количество названий млекопитающих Якутии в начале игры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Афанасьева Надя</c:v>
                </c:pt>
                <c:pt idx="1">
                  <c:v>Докторова Сайаана</c:v>
                </c:pt>
                <c:pt idx="2">
                  <c:v>Никифорова Айлана</c:v>
                </c:pt>
                <c:pt idx="3">
                  <c:v>Осипова Александра</c:v>
                </c:pt>
                <c:pt idx="4">
                  <c:v>Павлова Катя</c:v>
                </c:pt>
                <c:pt idx="5">
                  <c:v>Шестаков Айтал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Количество названий млекопитающих Якутии в конце игры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Афанасьева Надя</c:v>
                </c:pt>
                <c:pt idx="1">
                  <c:v>Докторова Сайаана</c:v>
                </c:pt>
                <c:pt idx="2">
                  <c:v>Никифорова Айлана</c:v>
                </c:pt>
                <c:pt idx="3">
                  <c:v>Осипова Александра</c:v>
                </c:pt>
                <c:pt idx="4">
                  <c:v>Павлова Катя</c:v>
                </c:pt>
                <c:pt idx="5">
                  <c:v>Шестаков Айтал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7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7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505256"/>
        <c:axId val="349507216"/>
      </c:barChart>
      <c:catAx>
        <c:axId val="349505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9507216"/>
        <c:crosses val="autoZero"/>
        <c:auto val="1"/>
        <c:lblAlgn val="ctr"/>
        <c:lblOffset val="100"/>
        <c:noMultiLvlLbl val="0"/>
      </c:catAx>
      <c:valAx>
        <c:axId val="34950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505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School22</dc:creator>
  <cp:lastModifiedBy>Учетная запись Майкрософт</cp:lastModifiedBy>
  <cp:revision>4</cp:revision>
  <dcterms:created xsi:type="dcterms:W3CDTF">2020-11-20T15:18:00Z</dcterms:created>
  <dcterms:modified xsi:type="dcterms:W3CDTF">2022-03-05T09:09:00Z</dcterms:modified>
</cp:coreProperties>
</file>